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18C9" w14:textId="77777777" w:rsidR="00ED2683" w:rsidRDefault="004808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NCNAC Annual Compass Conference </w:t>
      </w:r>
    </w:p>
    <w:p w14:paraId="23C09F07" w14:textId="496DBF23" w:rsidR="00ED2683" w:rsidRDefault="00480899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</w:t>
      </w:r>
      <w:r w:rsidR="00BD5E73">
        <w:rPr>
          <w:sz w:val="24"/>
          <w:szCs w:val="24"/>
        </w:rPr>
        <w:t>7-29</w:t>
      </w:r>
      <w:r>
        <w:rPr>
          <w:sz w:val="24"/>
          <w:szCs w:val="24"/>
        </w:rPr>
        <w:t>, 202</w:t>
      </w:r>
      <w:r w:rsidR="00BD5E73">
        <w:rPr>
          <w:sz w:val="24"/>
          <w:szCs w:val="24"/>
        </w:rPr>
        <w:t>6</w:t>
      </w:r>
    </w:p>
    <w:p w14:paraId="2FA19860" w14:textId="77777777" w:rsidR="00ED2683" w:rsidRDefault="004808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Sponsorship and Exhibitor Opportunities </w:t>
      </w:r>
    </w:p>
    <w:p w14:paraId="655F63A1" w14:textId="77777777" w:rsidR="00ED2683" w:rsidRDefault="004808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Auburn Hotel &amp; Conference Center </w:t>
      </w:r>
    </w:p>
    <w:p w14:paraId="177DFFA4" w14:textId="77777777" w:rsidR="00ED2683" w:rsidRDefault="004808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Auburn, AL </w:t>
      </w:r>
    </w:p>
    <w:p w14:paraId="57C4FC7C" w14:textId="77777777" w:rsidR="00ED2683" w:rsidRDefault="0048089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All applications are on a first-come, first-reserve basis and are subject to NCNAC approval. </w:t>
      </w:r>
    </w:p>
    <w:p w14:paraId="30DCB232" w14:textId="5A3FF865" w:rsidR="001F6A47" w:rsidRDefault="001F6A47">
      <w:pPr>
        <w:jc w:val="center"/>
      </w:pPr>
      <w:r>
        <w:rPr>
          <w:i/>
          <w:sz w:val="24"/>
          <w:szCs w:val="24"/>
        </w:rPr>
        <w:t xml:space="preserve">LINK: </w:t>
      </w:r>
      <w:hyperlink r:id="rId6" w:history="1">
        <w:r w:rsidRPr="001F6A47">
          <w:rPr>
            <w:color w:val="0000FF"/>
            <w:u w:val="single"/>
          </w:rPr>
          <w:t>2026 NCNAC Compass Conference - Vendors &amp; Sponsors | Auburn University</w:t>
        </w:r>
      </w:hyperlink>
    </w:p>
    <w:p w14:paraId="542A5C17" w14:textId="4F9ACDA5" w:rsidR="001F6A47" w:rsidRDefault="001F6A47">
      <w:pPr>
        <w:jc w:val="center"/>
        <w:rPr>
          <w:i/>
          <w:sz w:val="24"/>
          <w:szCs w:val="24"/>
        </w:rPr>
      </w:pPr>
      <w:r>
        <w:t xml:space="preserve">Hotel Only Link if needed: </w:t>
      </w:r>
      <w:hyperlink r:id="rId7" w:history="1">
        <w:r w:rsidRPr="001F6A47">
          <w:rPr>
            <w:color w:val="0000FF"/>
            <w:u w:val="single"/>
          </w:rPr>
          <w:t>The Hotel at Auburn University and Dixon Conference Center - Reservations - Room Availability</w:t>
        </w:r>
      </w:hyperlink>
    </w:p>
    <w:p w14:paraId="3B170CF2" w14:textId="1D406222" w:rsidR="00ED2683" w:rsidRDefault="00480899">
      <w:pPr>
        <w:rPr>
          <w:sz w:val="24"/>
          <w:szCs w:val="24"/>
        </w:rPr>
      </w:pPr>
      <w:r>
        <w:rPr>
          <w:sz w:val="24"/>
          <w:szCs w:val="24"/>
        </w:rPr>
        <w:t xml:space="preserve">The National Consortium for Nursing Academic Coaches (NCNAC) cordially invites you to attend and exhibit at our </w:t>
      </w:r>
      <w:r w:rsidR="00BD5E73">
        <w:rPr>
          <w:sz w:val="24"/>
          <w:szCs w:val="24"/>
        </w:rPr>
        <w:t>2nd</w:t>
      </w:r>
      <w:r>
        <w:rPr>
          <w:sz w:val="24"/>
          <w:szCs w:val="24"/>
        </w:rPr>
        <w:t xml:space="preserve"> Annual Compass Conference. The exhibits portion of the conference is March 2</w:t>
      </w:r>
      <w:r w:rsidR="00BD5E73">
        <w:rPr>
          <w:sz w:val="24"/>
          <w:szCs w:val="24"/>
        </w:rPr>
        <w:t>7-29</w:t>
      </w:r>
      <w:r>
        <w:rPr>
          <w:sz w:val="24"/>
          <w:szCs w:val="24"/>
        </w:rPr>
        <w:t>, 202</w:t>
      </w:r>
      <w:r w:rsidR="00BD5E73">
        <w:rPr>
          <w:sz w:val="24"/>
          <w:szCs w:val="24"/>
        </w:rPr>
        <w:t>6</w:t>
      </w:r>
      <w:r>
        <w:rPr>
          <w:sz w:val="24"/>
          <w:szCs w:val="24"/>
        </w:rPr>
        <w:t xml:space="preserve"> at the Hotel at Auburn University and Dixon Conference Center.</w:t>
      </w:r>
    </w:p>
    <w:p w14:paraId="7E5868F7" w14:textId="54D72E81" w:rsidR="00ED2683" w:rsidRDefault="00480899">
      <w:pPr>
        <w:rPr>
          <w:sz w:val="24"/>
          <w:szCs w:val="24"/>
        </w:rPr>
      </w:pPr>
      <w:r>
        <w:rPr>
          <w:sz w:val="24"/>
          <w:szCs w:val="24"/>
        </w:rPr>
        <w:t>The NCNAC Annual Conference is aimed at providing collaboration and education for nursing academic coaches and advisors.  </w:t>
      </w:r>
    </w:p>
    <w:p w14:paraId="20BFCFC2" w14:textId="77777777" w:rsidR="00ED2683" w:rsidRDefault="00480899">
      <w:pPr>
        <w:ind w:left="360"/>
        <w:rPr>
          <w:sz w:val="24"/>
          <w:szCs w:val="24"/>
        </w:rPr>
      </w:pPr>
      <w:r>
        <w:rPr>
          <w:sz w:val="24"/>
          <w:szCs w:val="24"/>
        </w:rPr>
        <w:t>Key information: </w:t>
      </w:r>
    </w:p>
    <w:p w14:paraId="7991FB0C" w14:textId="389F6EA1" w:rsidR="00ED2683" w:rsidRDefault="00480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NCNAC Annual Compass Conference </w:t>
      </w:r>
      <w:r w:rsidR="00E6550B">
        <w:rPr>
          <w:sz w:val="24"/>
          <w:szCs w:val="24"/>
        </w:rPr>
        <w:t xml:space="preserve">will </w:t>
      </w:r>
      <w:r>
        <w:rPr>
          <w:sz w:val="24"/>
          <w:szCs w:val="24"/>
        </w:rPr>
        <w:t>have at least 200 participants in attendance. All attendees are faculty or staff in nursing academic programs, representing over 48 states. </w:t>
      </w:r>
    </w:p>
    <w:p w14:paraId="7058F6B0" w14:textId="5F9E7085" w:rsidR="00ED2683" w:rsidRDefault="00480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Set-up is scheduled for Friday, March</w:t>
      </w:r>
      <w:r w:rsidR="00363C89">
        <w:rPr>
          <w:sz w:val="24"/>
          <w:szCs w:val="24"/>
        </w:rPr>
        <w:t xml:space="preserve"> 2</w:t>
      </w:r>
      <w:r w:rsidR="00BD5E73">
        <w:rPr>
          <w:sz w:val="24"/>
          <w:szCs w:val="24"/>
        </w:rPr>
        <w:t>7</w:t>
      </w:r>
      <w:r w:rsidR="00BD5E73" w:rsidRPr="00BD5E73">
        <w:rPr>
          <w:sz w:val="24"/>
          <w:szCs w:val="24"/>
          <w:vertAlign w:val="superscript"/>
        </w:rPr>
        <w:t>th</w:t>
      </w:r>
      <w:r w:rsidR="00BD5E73">
        <w:rPr>
          <w:sz w:val="24"/>
          <w:szCs w:val="24"/>
        </w:rPr>
        <w:t xml:space="preserve"> </w:t>
      </w:r>
      <w:r w:rsidR="00363C89">
        <w:rPr>
          <w:sz w:val="24"/>
          <w:szCs w:val="24"/>
        </w:rPr>
        <w:t xml:space="preserve">from </w:t>
      </w:r>
      <w:r>
        <w:rPr>
          <w:sz w:val="24"/>
          <w:szCs w:val="24"/>
        </w:rPr>
        <w:t xml:space="preserve">8:00 AM to 11:00 AM. Exhibits are open to attendees from Friday to Sunday. Typical exhibit hours are from 7:30 AM to 4:00 PM. Tables not set up by 11:00 AM on Friday, March </w:t>
      </w:r>
      <w:r w:rsidR="00BD5E73">
        <w:rPr>
          <w:sz w:val="24"/>
          <w:szCs w:val="24"/>
        </w:rPr>
        <w:t>27</w:t>
      </w:r>
      <w:r w:rsidR="00BD5E73" w:rsidRPr="00BD5E73">
        <w:rPr>
          <w:sz w:val="24"/>
          <w:szCs w:val="24"/>
          <w:vertAlign w:val="superscript"/>
        </w:rPr>
        <w:t>th</w:t>
      </w:r>
      <w:r w:rsidR="00BD5E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be considered vacant space and may be assigned to the waiting list companies (unless prior arrangements are made). If you have a travel delay, please contact </w:t>
      </w:r>
      <w:r w:rsidR="00BD5E73">
        <w:rPr>
          <w:sz w:val="24"/>
          <w:szCs w:val="24"/>
        </w:rPr>
        <w:t>Beth Hultquist at 704-785-0393</w:t>
      </w:r>
      <w:r w:rsidR="003E3C82">
        <w:rPr>
          <w:sz w:val="24"/>
          <w:szCs w:val="24"/>
        </w:rPr>
        <w:t xml:space="preserve">, </w:t>
      </w:r>
      <w:hyperlink r:id="rId8" w:history="1">
        <w:r w:rsidR="003E3C82" w:rsidRPr="00854276">
          <w:rPr>
            <w:rStyle w:val="Hyperlink"/>
            <w:sz w:val="24"/>
            <w:szCs w:val="24"/>
          </w:rPr>
          <w:t>beth_hultquist@baylor.edu</w:t>
        </w:r>
      </w:hyperlink>
      <w:r w:rsidR="003E3C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FFCBD8B" w14:textId="0BFECB93" w:rsidR="00ED2683" w:rsidRDefault="00480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Tear down is scheduled for Sunday, March 2</w:t>
      </w:r>
      <w:r w:rsidR="00BD5E73">
        <w:rPr>
          <w:sz w:val="24"/>
          <w:szCs w:val="24"/>
        </w:rPr>
        <w:t>9</w:t>
      </w:r>
      <w:r w:rsidR="00BD5E73" w:rsidRPr="00BD5E73">
        <w:rPr>
          <w:sz w:val="24"/>
          <w:szCs w:val="24"/>
          <w:vertAlign w:val="superscript"/>
        </w:rPr>
        <w:t>th</w:t>
      </w:r>
      <w:r w:rsidR="00BD5E73">
        <w:rPr>
          <w:sz w:val="24"/>
          <w:szCs w:val="24"/>
        </w:rPr>
        <w:t xml:space="preserve"> </w:t>
      </w:r>
      <w:r>
        <w:rPr>
          <w:sz w:val="24"/>
          <w:szCs w:val="24"/>
        </w:rPr>
        <w:t>starting at 11:</w:t>
      </w:r>
      <w:r w:rsidR="000C18E5">
        <w:rPr>
          <w:sz w:val="24"/>
          <w:szCs w:val="24"/>
        </w:rPr>
        <w:t>30</w:t>
      </w:r>
      <w:r>
        <w:rPr>
          <w:sz w:val="24"/>
          <w:szCs w:val="24"/>
        </w:rPr>
        <w:t xml:space="preserve"> AM. Any exhibitor tearing down prior to 11:00 AM on Sunday will incur a $500 fine and may be excluded from participating in future conferences. </w:t>
      </w:r>
    </w:p>
    <w:p w14:paraId="39E12C73" w14:textId="4E3FA857" w:rsidR="00ED2683" w:rsidRDefault="00480899" w:rsidP="00C65F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Deadline to guarantee space is </w:t>
      </w:r>
      <w:r w:rsidR="00EA094A">
        <w:rPr>
          <w:b/>
          <w:sz w:val="24"/>
          <w:szCs w:val="24"/>
        </w:rPr>
        <w:t xml:space="preserve">January </w:t>
      </w:r>
      <w:r w:rsidR="00BD5E73">
        <w:rPr>
          <w:b/>
          <w:sz w:val="24"/>
          <w:szCs w:val="24"/>
        </w:rPr>
        <w:t>15</w:t>
      </w:r>
      <w:r w:rsidR="00BD5E73" w:rsidRPr="00BD5E7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</w:t>
      </w:r>
      <w:r w:rsidR="00BD5E7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Full payment is required to guarantee space. There are only 20 spaces for exhibitors. </w:t>
      </w:r>
    </w:p>
    <w:p w14:paraId="7AE22E82" w14:textId="77777777" w:rsidR="00C65F9B" w:rsidRDefault="00C65F9B">
      <w:pPr>
        <w:rPr>
          <w:b/>
          <w:sz w:val="24"/>
          <w:szCs w:val="24"/>
        </w:rPr>
      </w:pPr>
    </w:p>
    <w:p w14:paraId="70F31AFF" w14:textId="0286C029" w:rsidR="00ED2683" w:rsidRDefault="0048089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Key Dates for the 202</w:t>
      </w:r>
      <w:r w:rsidR="00A815FA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NCNAC Conference</w:t>
      </w:r>
    </w:p>
    <w:p w14:paraId="395FA17F" w14:textId="28C02BFD" w:rsidR="00ED2683" w:rsidRPr="00530758" w:rsidRDefault="00EA0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4"/>
          <w:szCs w:val="24"/>
        </w:rPr>
      </w:pPr>
      <w:r w:rsidRPr="00530758">
        <w:rPr>
          <w:b/>
          <w:bCs/>
          <w:color w:val="000000"/>
          <w:sz w:val="24"/>
          <w:szCs w:val="24"/>
        </w:rPr>
        <w:t xml:space="preserve">January </w:t>
      </w:r>
      <w:r w:rsidR="00BD5E73" w:rsidRPr="00530758">
        <w:rPr>
          <w:b/>
          <w:bCs/>
          <w:color w:val="000000"/>
          <w:sz w:val="24"/>
          <w:szCs w:val="24"/>
        </w:rPr>
        <w:t>15</w:t>
      </w:r>
      <w:r w:rsidR="00BD5E73" w:rsidRPr="00530758">
        <w:rPr>
          <w:b/>
          <w:bCs/>
          <w:color w:val="000000"/>
          <w:sz w:val="24"/>
          <w:szCs w:val="24"/>
          <w:vertAlign w:val="superscript"/>
        </w:rPr>
        <w:t>th</w:t>
      </w:r>
      <w:r w:rsidR="00BD5E73" w:rsidRPr="00530758">
        <w:rPr>
          <w:b/>
          <w:bCs/>
          <w:color w:val="000000"/>
          <w:sz w:val="24"/>
          <w:szCs w:val="24"/>
        </w:rPr>
        <w:t xml:space="preserve"> </w:t>
      </w:r>
    </w:p>
    <w:p w14:paraId="24C35E87" w14:textId="77777777" w:rsidR="00ED2683" w:rsidRDefault="004808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Completed forms and full payment must be submitted to reserve space in the exhibit hall. </w:t>
      </w:r>
    </w:p>
    <w:p w14:paraId="760E2F44" w14:textId="77777777" w:rsidR="00ED2683" w:rsidRPr="00530758" w:rsidRDefault="0048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4"/>
          <w:szCs w:val="24"/>
        </w:rPr>
      </w:pPr>
      <w:r w:rsidRPr="00530758">
        <w:rPr>
          <w:b/>
          <w:bCs/>
          <w:color w:val="000000"/>
          <w:sz w:val="24"/>
          <w:szCs w:val="24"/>
        </w:rPr>
        <w:t>February 1st</w:t>
      </w:r>
    </w:p>
    <w:p w14:paraId="193835D2" w14:textId="19E64514" w:rsidR="00ED2683" w:rsidRPr="00363C89" w:rsidRDefault="008159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63C89">
        <w:rPr>
          <w:sz w:val="24"/>
          <w:szCs w:val="24"/>
        </w:rPr>
        <w:t>Last day for participating exhibitors to cancel and receive a full refund, less a 15% administration fee.</w:t>
      </w:r>
    </w:p>
    <w:p w14:paraId="07226881" w14:textId="77777777" w:rsidR="00C65F9B" w:rsidRDefault="00C65F9B">
      <w:pPr>
        <w:jc w:val="center"/>
        <w:rPr>
          <w:b/>
          <w:sz w:val="24"/>
          <w:szCs w:val="24"/>
          <w:u w:val="single"/>
        </w:rPr>
      </w:pPr>
    </w:p>
    <w:p w14:paraId="5774FAC1" w14:textId="77777777" w:rsidR="00C65F9B" w:rsidRDefault="00C65F9B">
      <w:pPr>
        <w:jc w:val="center"/>
        <w:rPr>
          <w:b/>
          <w:sz w:val="24"/>
          <w:szCs w:val="24"/>
          <w:u w:val="single"/>
        </w:rPr>
      </w:pPr>
    </w:p>
    <w:p w14:paraId="78157D07" w14:textId="77777777" w:rsidR="0089485E" w:rsidRDefault="0089485E">
      <w:pPr>
        <w:jc w:val="center"/>
        <w:rPr>
          <w:b/>
          <w:sz w:val="24"/>
          <w:szCs w:val="24"/>
          <w:u w:val="single"/>
        </w:rPr>
      </w:pPr>
    </w:p>
    <w:p w14:paraId="3C5C226A" w14:textId="77777777" w:rsidR="00C65F9B" w:rsidRDefault="00C65F9B">
      <w:pPr>
        <w:jc w:val="center"/>
        <w:rPr>
          <w:b/>
          <w:sz w:val="24"/>
          <w:szCs w:val="24"/>
          <w:u w:val="single"/>
        </w:rPr>
      </w:pPr>
    </w:p>
    <w:p w14:paraId="1C758558" w14:textId="3DC4A78A" w:rsidR="00ED2683" w:rsidRDefault="0048089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Register to Be an Exhibitor </w:t>
      </w:r>
    </w:p>
    <w:p w14:paraId="63894274" w14:textId="4CD00E84" w:rsidR="00ED2683" w:rsidRDefault="00480899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</w:t>
      </w:r>
      <w:r w:rsidR="00BD5E73">
        <w:rPr>
          <w:sz w:val="24"/>
          <w:szCs w:val="24"/>
        </w:rPr>
        <w:t>7-29</w:t>
      </w:r>
      <w:r>
        <w:rPr>
          <w:sz w:val="24"/>
          <w:szCs w:val="24"/>
        </w:rPr>
        <w:t>, 202</w:t>
      </w:r>
      <w:r w:rsidR="00BD5E73">
        <w:rPr>
          <w:sz w:val="24"/>
          <w:szCs w:val="24"/>
        </w:rPr>
        <w:t>6</w:t>
      </w:r>
    </w:p>
    <w:p w14:paraId="23C752E7" w14:textId="59D49841" w:rsidR="00ED2683" w:rsidRPr="00363C89" w:rsidRDefault="00480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63C89">
        <w:rPr>
          <w:sz w:val="24"/>
          <w:szCs w:val="24"/>
        </w:rPr>
        <w:t xml:space="preserve">Exhibitor </w:t>
      </w:r>
      <w:r w:rsidR="0081594A" w:rsidRPr="00363C89">
        <w:rPr>
          <w:sz w:val="24"/>
          <w:szCs w:val="24"/>
        </w:rPr>
        <w:t>Fee: $1000</w:t>
      </w:r>
      <w:r w:rsidRPr="00363C89">
        <w:rPr>
          <w:sz w:val="24"/>
          <w:szCs w:val="24"/>
        </w:rPr>
        <w:t xml:space="preserve"> </w:t>
      </w:r>
    </w:p>
    <w:p w14:paraId="30C43DF0" w14:textId="63C0FCD0" w:rsidR="00ED2683" w:rsidRPr="00363C89" w:rsidRDefault="008159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63C89">
        <w:rPr>
          <w:sz w:val="24"/>
          <w:szCs w:val="24"/>
        </w:rPr>
        <w:t>What’s included with your exhibitor fee:</w:t>
      </w:r>
      <w:r w:rsidR="00480899" w:rsidRPr="00363C89">
        <w:rPr>
          <w:sz w:val="24"/>
          <w:szCs w:val="24"/>
        </w:rPr>
        <w:t xml:space="preserve"> </w:t>
      </w:r>
    </w:p>
    <w:p w14:paraId="7388E7BE" w14:textId="4270267A" w:rsidR="00ED2683" w:rsidRPr="00363C89" w:rsidRDefault="004808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63C89">
        <w:rPr>
          <w:sz w:val="24"/>
          <w:szCs w:val="24"/>
        </w:rPr>
        <w:t xml:space="preserve">Includes one 6 ft. table, 2 chairs, and </w:t>
      </w:r>
      <w:r w:rsidR="0081594A" w:rsidRPr="00363C89">
        <w:rPr>
          <w:sz w:val="24"/>
          <w:szCs w:val="24"/>
        </w:rPr>
        <w:t xml:space="preserve">complimentary </w:t>
      </w:r>
      <w:r w:rsidRPr="00363C89">
        <w:rPr>
          <w:sz w:val="24"/>
          <w:szCs w:val="24"/>
        </w:rPr>
        <w:t xml:space="preserve">registration for 2 staff </w:t>
      </w:r>
      <w:r w:rsidR="00363C89" w:rsidRPr="00363C89">
        <w:rPr>
          <w:sz w:val="24"/>
          <w:szCs w:val="24"/>
        </w:rPr>
        <w:t>members.</w:t>
      </w:r>
    </w:p>
    <w:p w14:paraId="662F4FC5" w14:textId="384A2E70" w:rsidR="00ED2683" w:rsidRPr="00363C89" w:rsidRDefault="0081594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63C89">
        <w:rPr>
          <w:sz w:val="24"/>
          <w:szCs w:val="24"/>
        </w:rPr>
        <w:t>Exhibiting companies wanting to register additional staff will be required to pay the additional Exhibitor and Sponsorship Registration fee of $300 per person.</w:t>
      </w:r>
    </w:p>
    <w:p w14:paraId="40141A33" w14:textId="77777777" w:rsidR="00ED2683" w:rsidRPr="00363C89" w:rsidRDefault="004808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hanging="720"/>
        <w:rPr>
          <w:sz w:val="24"/>
          <w:szCs w:val="24"/>
        </w:rPr>
      </w:pPr>
      <w:r w:rsidRPr="00363C89">
        <w:rPr>
          <w:sz w:val="24"/>
          <w:szCs w:val="24"/>
        </w:rPr>
        <w:t xml:space="preserve">Exhibit rental does not include: </w:t>
      </w:r>
    </w:p>
    <w:p w14:paraId="5E3DE400" w14:textId="53F804F2" w:rsidR="00ED2683" w:rsidRPr="00363C89" w:rsidRDefault="004808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sz w:val="24"/>
          <w:szCs w:val="24"/>
        </w:rPr>
      </w:pPr>
      <w:r w:rsidRPr="00363C89">
        <w:rPr>
          <w:sz w:val="24"/>
          <w:szCs w:val="24"/>
        </w:rPr>
        <w:t xml:space="preserve">Installation of any booth-related equipment including electrical power, water, gas, audio-visual equipment, </w:t>
      </w:r>
      <w:r w:rsidR="00363C89" w:rsidRPr="00363C89">
        <w:rPr>
          <w:sz w:val="24"/>
          <w:szCs w:val="24"/>
        </w:rPr>
        <w:t>furniture,</w:t>
      </w:r>
      <w:r w:rsidRPr="00363C89">
        <w:rPr>
          <w:sz w:val="24"/>
          <w:szCs w:val="24"/>
        </w:rPr>
        <w:t xml:space="preserve"> or decoration. Rental also does not include any receiving, storage, packing, shipping, or security and cleaning services. Additionally, please be sure to remove any bulk trash from your space during tear-down. Any bulk trash left after vacating the premises may result in a charge to your company. </w:t>
      </w:r>
    </w:p>
    <w:p w14:paraId="0760CD2A" w14:textId="77777777" w:rsidR="00ED2683" w:rsidRPr="00363C89" w:rsidRDefault="004808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810"/>
        <w:rPr>
          <w:sz w:val="24"/>
          <w:szCs w:val="24"/>
        </w:rPr>
      </w:pPr>
      <w:r w:rsidRPr="00363C89">
        <w:rPr>
          <w:sz w:val="24"/>
          <w:szCs w:val="24"/>
        </w:rPr>
        <w:t xml:space="preserve">Space Assignment </w:t>
      </w:r>
    </w:p>
    <w:p w14:paraId="678E8BFA" w14:textId="60B9CC20" w:rsidR="000160D7" w:rsidRPr="00363C89" w:rsidRDefault="000160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 w:rsidRPr="003B084B">
        <w:rPr>
          <w:sz w:val="24"/>
          <w:szCs w:val="24"/>
        </w:rPr>
        <w:t>Space Assignment will begin after the guaranteed space deadline (</w:t>
      </w:r>
      <w:r w:rsidR="003B084B" w:rsidRPr="003B084B">
        <w:rPr>
          <w:sz w:val="24"/>
          <w:szCs w:val="24"/>
        </w:rPr>
        <w:t>December 1, 2025</w:t>
      </w:r>
      <w:r w:rsidRPr="003B084B">
        <w:rPr>
          <w:sz w:val="24"/>
          <w:szCs w:val="24"/>
        </w:rPr>
        <w:t>) has</w:t>
      </w:r>
      <w:r w:rsidRPr="00363C89">
        <w:rPr>
          <w:sz w:val="24"/>
          <w:szCs w:val="24"/>
        </w:rPr>
        <w:t xml:space="preserve"> passed.</w:t>
      </w:r>
    </w:p>
    <w:p w14:paraId="3B34C34E" w14:textId="251EDBF6" w:rsidR="00ED2683" w:rsidRDefault="00480899" w:rsidP="00C65F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Space preference will be given to those who participate in the conference as a sponsor and an exhibitor. </w:t>
      </w:r>
    </w:p>
    <w:p w14:paraId="4F8E90D6" w14:textId="77777777" w:rsidR="007D650C" w:rsidRDefault="007D650C" w:rsidP="007D650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Donate a door prize - </w:t>
      </w:r>
      <w:r w:rsidRPr="007D650C">
        <w:rPr>
          <w:color w:val="000000"/>
          <w:sz w:val="24"/>
          <w:szCs w:val="24"/>
        </w:rPr>
        <w:t xml:space="preserve">Door prizes are eagerly anticipated and very much appreciated! </w:t>
      </w:r>
    </w:p>
    <w:p w14:paraId="5D58E8F9" w14:textId="3D7357FE" w:rsidR="007D650C" w:rsidRPr="007D650C" w:rsidRDefault="007D650C" w:rsidP="007D650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120" w:line="240" w:lineRule="auto"/>
        <w:rPr>
          <w:color w:val="000000"/>
          <w:sz w:val="24"/>
          <w:szCs w:val="24"/>
        </w:rPr>
      </w:pPr>
      <w:r w:rsidRPr="007D650C">
        <w:rPr>
          <w:color w:val="000000"/>
          <w:sz w:val="24"/>
          <w:szCs w:val="24"/>
        </w:rPr>
        <w:t>Examples of donated prizes are textbooks, electronics (iPad, etc.), software, apparel.</w:t>
      </w:r>
    </w:p>
    <w:p w14:paraId="257E3ED4" w14:textId="77777777" w:rsidR="001A1310" w:rsidRDefault="001A1310" w:rsidP="004B304A">
      <w:pPr>
        <w:jc w:val="center"/>
        <w:rPr>
          <w:b/>
          <w:sz w:val="24"/>
          <w:szCs w:val="24"/>
          <w:u w:val="single"/>
        </w:rPr>
      </w:pPr>
    </w:p>
    <w:p w14:paraId="05B84332" w14:textId="2EDE6966" w:rsidR="00ED2683" w:rsidRPr="004B304A" w:rsidRDefault="004B304A" w:rsidP="004B304A">
      <w:pPr>
        <w:jc w:val="center"/>
        <w:rPr>
          <w:b/>
          <w:sz w:val="24"/>
          <w:szCs w:val="24"/>
          <w:u w:val="single"/>
        </w:rPr>
      </w:pPr>
      <w:r w:rsidRPr="004B304A">
        <w:rPr>
          <w:b/>
          <w:sz w:val="24"/>
          <w:szCs w:val="24"/>
          <w:u w:val="single"/>
        </w:rPr>
        <w:t>Sponsorship</w:t>
      </w:r>
      <w:r w:rsidR="000160D7" w:rsidRPr="004B304A">
        <w:rPr>
          <w:b/>
          <w:sz w:val="24"/>
          <w:szCs w:val="24"/>
          <w:u w:val="single"/>
        </w:rPr>
        <w:t xml:space="preserve"> Opportunities:</w:t>
      </w:r>
    </w:p>
    <w:p w14:paraId="31CC0B6D" w14:textId="0D7219C0" w:rsidR="000160D7" w:rsidRDefault="000160D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Platinum Level: $5,500</w:t>
      </w:r>
    </w:p>
    <w:p w14:paraId="151B423E" w14:textId="03F6AB49" w:rsidR="000160D7" w:rsidRDefault="000160D7" w:rsidP="000160D7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Opening Lunch Sponsor – </w:t>
      </w:r>
      <w:r w:rsidR="004B304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4B304A">
        <w:rPr>
          <w:sz w:val="24"/>
          <w:szCs w:val="24"/>
        </w:rPr>
        <w:t>Opportunities</w:t>
      </w:r>
      <w:r>
        <w:rPr>
          <w:sz w:val="24"/>
          <w:szCs w:val="24"/>
        </w:rPr>
        <w:t xml:space="preserve"> Available</w:t>
      </w:r>
    </w:p>
    <w:p w14:paraId="1AF8112F" w14:textId="3B73D8E1" w:rsidR="004B304A" w:rsidRDefault="004B304A" w:rsidP="000160D7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Welcome Reception Sponsor – 2 Opportunities Available</w:t>
      </w:r>
    </w:p>
    <w:p w14:paraId="56455AA8" w14:textId="34277554" w:rsidR="000160D7" w:rsidRDefault="000160D7" w:rsidP="000160D7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Closing </w:t>
      </w:r>
      <w:r w:rsidR="004B304A">
        <w:rPr>
          <w:sz w:val="24"/>
          <w:szCs w:val="24"/>
        </w:rPr>
        <w:t xml:space="preserve">Lunch </w:t>
      </w:r>
      <w:r>
        <w:rPr>
          <w:sz w:val="24"/>
          <w:szCs w:val="24"/>
        </w:rPr>
        <w:t xml:space="preserve">Sponsor – </w:t>
      </w:r>
      <w:r w:rsidR="004B304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4B304A">
        <w:rPr>
          <w:sz w:val="24"/>
          <w:szCs w:val="24"/>
        </w:rPr>
        <w:t>Opportunities</w:t>
      </w:r>
      <w:r>
        <w:rPr>
          <w:sz w:val="24"/>
          <w:szCs w:val="24"/>
        </w:rPr>
        <w:t xml:space="preserve"> Available</w:t>
      </w:r>
    </w:p>
    <w:p w14:paraId="343E27C2" w14:textId="73E2E025" w:rsidR="000160D7" w:rsidRDefault="000160D7" w:rsidP="000160D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Gold Level: $5,000</w:t>
      </w:r>
    </w:p>
    <w:p w14:paraId="3903BA90" w14:textId="06102359" w:rsidR="000160D7" w:rsidRPr="004B304A" w:rsidRDefault="000160D7" w:rsidP="004B304A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Breakfast Sponsor – </w:t>
      </w:r>
      <w:r w:rsidR="004B304A">
        <w:rPr>
          <w:sz w:val="24"/>
          <w:szCs w:val="24"/>
        </w:rPr>
        <w:t>2 Opportunities Available (Saturday &amp; Sunday)</w:t>
      </w:r>
    </w:p>
    <w:p w14:paraId="4BAD25CB" w14:textId="189BFE89" w:rsidR="000160D7" w:rsidRDefault="000160D7" w:rsidP="000160D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Silver Level: $4,000</w:t>
      </w:r>
    </w:p>
    <w:p w14:paraId="6836B9F4" w14:textId="3CED4EA5" w:rsidR="000160D7" w:rsidRDefault="000160D7" w:rsidP="000160D7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Refreshment Break Sponsor – 4 Opportunities Availabl</w:t>
      </w:r>
      <w:r w:rsidR="004B304A">
        <w:rPr>
          <w:sz w:val="24"/>
          <w:szCs w:val="24"/>
        </w:rPr>
        <w:t>e</w:t>
      </w:r>
    </w:p>
    <w:p w14:paraId="47C7A11A" w14:textId="0C235F6E" w:rsidR="004B304A" w:rsidRDefault="004B304A" w:rsidP="000160D7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Conference App Sponsor – 1 Opportunity Available</w:t>
      </w:r>
    </w:p>
    <w:p w14:paraId="18822B2D" w14:textId="413EB2FB" w:rsidR="004B304A" w:rsidRDefault="004B304A" w:rsidP="000160D7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Plenary Speaker Sponsorship – 2 Opportunities Available</w:t>
      </w:r>
    </w:p>
    <w:p w14:paraId="67241A71" w14:textId="47AE7B64" w:rsidR="000160D7" w:rsidRDefault="000160D7" w:rsidP="000160D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Bronze Level: $2,500</w:t>
      </w:r>
    </w:p>
    <w:p w14:paraId="6615B264" w14:textId="77777777" w:rsidR="004B304A" w:rsidRDefault="004B304A" w:rsidP="004B304A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Attendee Bags – 1 Opportunity Available</w:t>
      </w:r>
    </w:p>
    <w:p w14:paraId="7239D713" w14:textId="3E33E479" w:rsidR="004B304A" w:rsidRPr="004B304A" w:rsidRDefault="004B304A" w:rsidP="004B304A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 w:rsidRPr="000160D7">
        <w:rPr>
          <w:sz w:val="24"/>
          <w:szCs w:val="24"/>
        </w:rPr>
        <w:t xml:space="preserve">Attendee </w:t>
      </w:r>
      <w:r>
        <w:rPr>
          <w:sz w:val="24"/>
          <w:szCs w:val="24"/>
        </w:rPr>
        <w:t>Lanyards – 1 Opportunity Available</w:t>
      </w:r>
    </w:p>
    <w:p w14:paraId="206E8343" w14:textId="77777777" w:rsidR="00ED2683" w:rsidRDefault="00ED2683">
      <w:pPr>
        <w:tabs>
          <w:tab w:val="left" w:pos="720"/>
        </w:tabs>
        <w:rPr>
          <w:sz w:val="24"/>
          <w:szCs w:val="24"/>
        </w:rPr>
      </w:pPr>
    </w:p>
    <w:p w14:paraId="2BD317FC" w14:textId="77777777" w:rsidR="00C65F9B" w:rsidRDefault="00C65F9B">
      <w:pPr>
        <w:tabs>
          <w:tab w:val="left" w:pos="720"/>
        </w:tabs>
        <w:jc w:val="center"/>
        <w:rPr>
          <w:b/>
          <w:sz w:val="24"/>
          <w:szCs w:val="24"/>
          <w:u w:val="single"/>
        </w:rPr>
      </w:pPr>
    </w:p>
    <w:p w14:paraId="4575E910" w14:textId="77777777" w:rsidR="00C65F9B" w:rsidRDefault="00C65F9B">
      <w:pPr>
        <w:tabs>
          <w:tab w:val="left" w:pos="720"/>
        </w:tabs>
        <w:jc w:val="center"/>
        <w:rPr>
          <w:b/>
          <w:sz w:val="24"/>
          <w:szCs w:val="24"/>
          <w:u w:val="single"/>
        </w:rPr>
      </w:pPr>
    </w:p>
    <w:p w14:paraId="4AAE7509" w14:textId="2A7A0E76" w:rsidR="00ED2683" w:rsidRDefault="00480899">
      <w:pPr>
        <w:tabs>
          <w:tab w:val="left" w:pos="7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Sponsorship </w:t>
      </w:r>
      <w:r w:rsidR="004B304A">
        <w:rPr>
          <w:b/>
          <w:sz w:val="24"/>
          <w:szCs w:val="24"/>
          <w:u w:val="single"/>
        </w:rPr>
        <w:t>Level Benefits</w:t>
      </w:r>
      <w:r>
        <w:rPr>
          <w:b/>
          <w:sz w:val="24"/>
          <w:szCs w:val="24"/>
          <w:u w:val="single"/>
        </w:rPr>
        <w:t xml:space="preserve"> for the 202</w:t>
      </w:r>
      <w:r w:rsidR="00BD5E73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NCNAC Conference</w:t>
      </w:r>
    </w:p>
    <w:tbl>
      <w:tblPr>
        <w:tblStyle w:val="a"/>
        <w:tblW w:w="9270" w:type="dxa"/>
        <w:tblInd w:w="755" w:type="dxa"/>
        <w:tblLayout w:type="fixed"/>
        <w:tblLook w:val="0400" w:firstRow="0" w:lastRow="0" w:firstColumn="0" w:lastColumn="0" w:noHBand="0" w:noVBand="1"/>
      </w:tblPr>
      <w:tblGrid>
        <w:gridCol w:w="3420"/>
        <w:gridCol w:w="1620"/>
        <w:gridCol w:w="1440"/>
        <w:gridCol w:w="1350"/>
        <w:gridCol w:w="1440"/>
      </w:tblGrid>
      <w:tr w:rsidR="008625A2" w14:paraId="1BBD0224" w14:textId="77777777" w:rsidTr="008625A2">
        <w:trPr>
          <w:trHeight w:val="573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AFFD" w14:textId="77777777" w:rsidR="008625A2" w:rsidRDefault="008625A2" w:rsidP="00C84EC0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64FE" w14:textId="744F6978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074F6A" w:themeColor="accent4" w:themeShade="80"/>
                <w:sz w:val="20"/>
                <w:szCs w:val="20"/>
              </w:rPr>
            </w:pP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t xml:space="preserve">Platinum Level </w:t>
            </w: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br/>
              <w:t>$5,500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167C" w14:textId="2C1A361C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FF9900"/>
                <w:sz w:val="20"/>
                <w:szCs w:val="20"/>
              </w:rPr>
            </w:pPr>
            <w:r w:rsidRPr="00221BF6">
              <w:rPr>
                <w:b/>
                <w:color w:val="FF9900"/>
                <w:sz w:val="20"/>
                <w:szCs w:val="20"/>
              </w:rPr>
              <w:t xml:space="preserve">Gold Level </w:t>
            </w:r>
            <w:r w:rsidRPr="00221BF6">
              <w:rPr>
                <w:b/>
                <w:color w:val="FF9900"/>
                <w:sz w:val="20"/>
                <w:szCs w:val="20"/>
              </w:rPr>
              <w:br/>
              <w:t>$5,000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CBFB" w14:textId="1946B665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21BF6">
              <w:rPr>
                <w:b/>
                <w:color w:val="808080" w:themeColor="background1" w:themeShade="80"/>
                <w:sz w:val="20"/>
                <w:szCs w:val="20"/>
              </w:rPr>
              <w:t>Silver Level </w:t>
            </w:r>
            <w:r w:rsidRPr="00221BF6">
              <w:rPr>
                <w:b/>
                <w:color w:val="808080" w:themeColor="background1" w:themeShade="80"/>
                <w:sz w:val="20"/>
                <w:szCs w:val="20"/>
              </w:rPr>
              <w:br/>
              <w:t>$4,000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19EB" w14:textId="433C3C78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Cs/>
                <w:color w:val="CCCC00"/>
                <w:sz w:val="20"/>
                <w:szCs w:val="20"/>
              </w:rPr>
            </w:pPr>
            <w:r w:rsidRPr="00221BF6">
              <w:rPr>
                <w:bCs/>
                <w:color w:val="CCCC00"/>
                <w:sz w:val="20"/>
                <w:szCs w:val="20"/>
              </w:rPr>
              <w:t>Bronze Level</w:t>
            </w:r>
            <w:r w:rsidRPr="00221BF6">
              <w:rPr>
                <w:bCs/>
                <w:color w:val="CCCC00"/>
                <w:sz w:val="20"/>
                <w:szCs w:val="20"/>
              </w:rPr>
              <w:br/>
              <w:t>$2,500</w:t>
            </w:r>
          </w:p>
        </w:tc>
      </w:tr>
      <w:tr w:rsidR="008625A2" w14:paraId="701D3F86" w14:textId="77777777" w:rsidTr="008625A2">
        <w:trPr>
          <w:trHeight w:val="54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5978" w14:textId="69C8A8C2" w:rsidR="008625A2" w:rsidRDefault="008625A2" w:rsidP="00C84EC0">
            <w:pPr>
              <w:tabs>
                <w:tab w:val="left" w:pos="72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Complimentary Booth Space, including 2 complimentary staff registrations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822F0" w14:textId="41FC2791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074F6A" w:themeColor="accent4" w:themeShade="80"/>
                <w:sz w:val="20"/>
                <w:szCs w:val="20"/>
              </w:rPr>
            </w:pP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142ED" w14:textId="179735B2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FF9900"/>
                <w:sz w:val="20"/>
                <w:szCs w:val="20"/>
              </w:rPr>
            </w:pPr>
            <w:r w:rsidRPr="00221BF6">
              <w:rPr>
                <w:b/>
                <w:color w:val="FF9900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1741C" w14:textId="77777777" w:rsidR="008625A2" w:rsidRPr="00221BF6" w:rsidRDefault="008625A2" w:rsidP="00C84EC0">
            <w:pPr>
              <w:tabs>
                <w:tab w:val="left" w:pos="720"/>
              </w:tabs>
              <w:ind w:left="360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0333B" w14:textId="77777777" w:rsidR="008625A2" w:rsidRPr="00221BF6" w:rsidRDefault="008625A2" w:rsidP="00C84EC0">
            <w:pPr>
              <w:tabs>
                <w:tab w:val="left" w:pos="720"/>
              </w:tabs>
              <w:ind w:left="360"/>
              <w:jc w:val="center"/>
              <w:rPr>
                <w:bCs/>
                <w:color w:val="CCCC00"/>
                <w:sz w:val="20"/>
                <w:szCs w:val="20"/>
              </w:rPr>
            </w:pPr>
          </w:p>
        </w:tc>
      </w:tr>
      <w:tr w:rsidR="008625A2" w14:paraId="0522C9F9" w14:textId="77777777" w:rsidTr="008625A2">
        <w:trPr>
          <w:trHeight w:val="61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FC61" w14:textId="7D445EBA" w:rsidR="008625A2" w:rsidRDefault="008625A2" w:rsidP="00C84EC0">
            <w:pPr>
              <w:tabs>
                <w:tab w:val="left" w:pos="72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Complimentary Registration with Sponsorship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0E316" w14:textId="3EDE02DB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074F6A" w:themeColor="accent4" w:themeShade="80"/>
                <w:sz w:val="20"/>
                <w:szCs w:val="20"/>
              </w:rPr>
            </w:pP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4B8A1" w14:textId="52FF3209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FF9900"/>
                <w:sz w:val="20"/>
                <w:szCs w:val="20"/>
              </w:rPr>
            </w:pPr>
            <w:r w:rsidRPr="00221BF6">
              <w:rPr>
                <w:b/>
                <w:color w:val="FF99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BD938" w14:textId="469293E7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21BF6">
              <w:rPr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2649" w14:textId="62670510" w:rsidR="008625A2" w:rsidRPr="00221BF6" w:rsidRDefault="008625A2" w:rsidP="00C84EC0">
            <w:pPr>
              <w:tabs>
                <w:tab w:val="left" w:pos="720"/>
              </w:tabs>
              <w:ind w:left="360"/>
              <w:jc w:val="center"/>
              <w:rPr>
                <w:bCs/>
                <w:color w:val="CCCC00"/>
                <w:sz w:val="20"/>
                <w:szCs w:val="20"/>
              </w:rPr>
            </w:pPr>
          </w:p>
        </w:tc>
      </w:tr>
      <w:tr w:rsidR="008625A2" w14:paraId="0B8C8055" w14:textId="77777777" w:rsidTr="008625A2">
        <w:trPr>
          <w:trHeight w:val="61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C3C6" w14:textId="35F0BE5C" w:rsidR="008625A2" w:rsidRDefault="008625A2" w:rsidP="00C84EC0">
            <w:pPr>
              <w:tabs>
                <w:tab w:val="left" w:pos="72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Recognition at Sponsored Event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96C5A" w14:textId="37AB8E3F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074F6A" w:themeColor="accent4" w:themeShade="80"/>
                <w:sz w:val="20"/>
                <w:szCs w:val="20"/>
              </w:rPr>
            </w:pP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EA856" w14:textId="1221E199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FF9900"/>
                <w:sz w:val="20"/>
                <w:szCs w:val="20"/>
              </w:rPr>
            </w:pPr>
            <w:r w:rsidRPr="00221BF6">
              <w:rPr>
                <w:b/>
                <w:color w:val="FF9900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CDDF5" w14:textId="5F8ED7C4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21BF6">
              <w:rPr>
                <w:b/>
                <w:color w:val="808080" w:themeColor="background1" w:themeShade="8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BDD5D" w14:textId="77777777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Cs/>
                <w:color w:val="CCCC00"/>
                <w:sz w:val="20"/>
                <w:szCs w:val="20"/>
              </w:rPr>
            </w:pPr>
          </w:p>
        </w:tc>
      </w:tr>
      <w:tr w:rsidR="008625A2" w14:paraId="65EF9131" w14:textId="77777777" w:rsidTr="008625A2">
        <w:trPr>
          <w:trHeight w:val="61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547B" w14:textId="448385AF" w:rsidR="008625A2" w:rsidRDefault="008625A2" w:rsidP="00C84EC0">
            <w:pPr>
              <w:tabs>
                <w:tab w:val="left" w:pos="72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Materials in Conference Bags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1B29A" w14:textId="285414C0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074F6A" w:themeColor="accent4" w:themeShade="80"/>
                <w:sz w:val="20"/>
                <w:szCs w:val="20"/>
              </w:rPr>
            </w:pP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D6F19" w14:textId="4EACB4A6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FF9900"/>
                <w:sz w:val="20"/>
                <w:szCs w:val="20"/>
              </w:rPr>
            </w:pPr>
            <w:r w:rsidRPr="00221BF6">
              <w:rPr>
                <w:b/>
                <w:color w:val="FF9900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BF1EA" w14:textId="252DB41D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21BF6">
              <w:rPr>
                <w:b/>
                <w:color w:val="808080" w:themeColor="background1" w:themeShade="8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C8424" w14:textId="35D511D8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Cs/>
                <w:color w:val="CCCC00"/>
                <w:sz w:val="20"/>
                <w:szCs w:val="20"/>
              </w:rPr>
            </w:pPr>
            <w:r w:rsidRPr="00221BF6">
              <w:rPr>
                <w:bCs/>
                <w:color w:val="CCCC00"/>
                <w:sz w:val="20"/>
                <w:szCs w:val="20"/>
              </w:rPr>
              <w:t>X</w:t>
            </w:r>
          </w:p>
        </w:tc>
      </w:tr>
      <w:tr w:rsidR="008625A2" w14:paraId="1BAC9567" w14:textId="77777777" w:rsidTr="008625A2">
        <w:trPr>
          <w:trHeight w:val="61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E5FC" w14:textId="0FD22F2C" w:rsidR="008625A2" w:rsidRDefault="008625A2" w:rsidP="00C84EC0">
            <w:pPr>
              <w:tabs>
                <w:tab w:val="left" w:pos="72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Listing of Company on the NCNAC Website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0BE94" w14:textId="09D9F566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074F6A" w:themeColor="accent4" w:themeShade="80"/>
                <w:sz w:val="20"/>
                <w:szCs w:val="20"/>
              </w:rPr>
            </w:pP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t>Logo &amp; Hyperlink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BF8ED" w14:textId="14EF220E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FF9900"/>
                <w:sz w:val="20"/>
                <w:szCs w:val="20"/>
              </w:rPr>
            </w:pPr>
            <w:r w:rsidRPr="00221BF6">
              <w:rPr>
                <w:b/>
                <w:color w:val="FF9900"/>
                <w:sz w:val="20"/>
                <w:szCs w:val="20"/>
              </w:rPr>
              <w:t>Logo &amp; Hyperlink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968AD" w14:textId="7822456A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21BF6">
              <w:rPr>
                <w:b/>
                <w:color w:val="808080" w:themeColor="background1" w:themeShade="80"/>
                <w:sz w:val="20"/>
                <w:szCs w:val="20"/>
              </w:rPr>
              <w:t>Logo &amp; Hyperlink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180C0" w14:textId="2B17B6D5" w:rsidR="008625A2" w:rsidRPr="00221BF6" w:rsidRDefault="008625A2" w:rsidP="00C84EC0">
            <w:pPr>
              <w:tabs>
                <w:tab w:val="left" w:pos="720"/>
              </w:tabs>
              <w:jc w:val="center"/>
              <w:rPr>
                <w:bCs/>
                <w:color w:val="CCCC00"/>
                <w:sz w:val="20"/>
                <w:szCs w:val="20"/>
              </w:rPr>
            </w:pPr>
            <w:r w:rsidRPr="00221BF6">
              <w:rPr>
                <w:bCs/>
                <w:color w:val="CCCC00"/>
                <w:sz w:val="20"/>
                <w:szCs w:val="20"/>
              </w:rPr>
              <w:t>Logo</w:t>
            </w:r>
          </w:p>
        </w:tc>
      </w:tr>
      <w:tr w:rsidR="008625A2" w14:paraId="2056B9F8" w14:textId="77777777" w:rsidTr="008625A2">
        <w:trPr>
          <w:trHeight w:val="61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35E2" w14:textId="0341330C" w:rsidR="008625A2" w:rsidRDefault="008625A2" w:rsidP="00C84EC0">
            <w:pPr>
              <w:tabs>
                <w:tab w:val="left" w:pos="72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Points Earned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4EDD9" w14:textId="2C1723F1" w:rsidR="008625A2" w:rsidRPr="00221BF6" w:rsidRDefault="008625A2" w:rsidP="00C84EC0">
            <w:pPr>
              <w:tabs>
                <w:tab w:val="left" w:pos="720"/>
              </w:tabs>
              <w:ind w:left="360"/>
              <w:jc w:val="center"/>
              <w:rPr>
                <w:b/>
                <w:color w:val="074F6A" w:themeColor="accent4" w:themeShade="80"/>
                <w:sz w:val="20"/>
                <w:szCs w:val="20"/>
              </w:rPr>
            </w:pPr>
            <w:r w:rsidRPr="00221BF6">
              <w:rPr>
                <w:b/>
                <w:color w:val="074F6A" w:themeColor="accent4" w:themeShade="8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59A5C" w14:textId="0ECAABC5" w:rsidR="008625A2" w:rsidRPr="00221BF6" w:rsidRDefault="008625A2" w:rsidP="00C84EC0">
            <w:pPr>
              <w:tabs>
                <w:tab w:val="left" w:pos="720"/>
              </w:tabs>
              <w:ind w:left="360"/>
              <w:jc w:val="center"/>
              <w:rPr>
                <w:color w:val="FF9900"/>
                <w:sz w:val="20"/>
                <w:szCs w:val="20"/>
              </w:rPr>
            </w:pPr>
            <w:r w:rsidRPr="00221BF6">
              <w:rPr>
                <w:color w:val="FF99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FB747" w14:textId="102C6888" w:rsidR="008625A2" w:rsidRPr="00221BF6" w:rsidRDefault="008625A2" w:rsidP="00C84EC0">
            <w:pPr>
              <w:tabs>
                <w:tab w:val="left" w:pos="720"/>
              </w:tabs>
              <w:ind w:left="360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21BF6">
              <w:rPr>
                <w:b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7024C" w14:textId="12B2D338" w:rsidR="008625A2" w:rsidRPr="00221BF6" w:rsidRDefault="008625A2" w:rsidP="00C84EC0">
            <w:pPr>
              <w:tabs>
                <w:tab w:val="left" w:pos="720"/>
              </w:tabs>
              <w:ind w:left="360"/>
              <w:jc w:val="center"/>
              <w:rPr>
                <w:bCs/>
                <w:color w:val="CCCC00"/>
                <w:sz w:val="20"/>
                <w:szCs w:val="20"/>
              </w:rPr>
            </w:pPr>
            <w:r w:rsidRPr="00221BF6">
              <w:rPr>
                <w:bCs/>
                <w:color w:val="CCCC00"/>
                <w:sz w:val="20"/>
                <w:szCs w:val="20"/>
              </w:rPr>
              <w:t>2</w:t>
            </w:r>
          </w:p>
        </w:tc>
      </w:tr>
    </w:tbl>
    <w:p w14:paraId="0D382B4C" w14:textId="289185FC" w:rsidR="00C84EC0" w:rsidRDefault="00C65F9B" w:rsidP="00C84EC0">
      <w:pPr>
        <w:tabs>
          <w:tab w:val="left" w:pos="720"/>
        </w:tabs>
        <w:rPr>
          <w:i/>
          <w:iCs/>
          <w:sz w:val="24"/>
          <w:szCs w:val="24"/>
        </w:rPr>
      </w:pPr>
      <w:r w:rsidRPr="00C65F9B">
        <w:rPr>
          <w:i/>
          <w:iCs/>
          <w:sz w:val="24"/>
          <w:szCs w:val="24"/>
        </w:rPr>
        <w:t xml:space="preserve">*Please note: Sponsorships received after </w:t>
      </w:r>
      <w:r w:rsidR="00EA094A">
        <w:rPr>
          <w:i/>
          <w:iCs/>
          <w:sz w:val="24"/>
          <w:szCs w:val="24"/>
        </w:rPr>
        <w:t xml:space="preserve">January </w:t>
      </w:r>
      <w:r w:rsidR="00BD5E73">
        <w:rPr>
          <w:i/>
          <w:iCs/>
          <w:sz w:val="24"/>
          <w:szCs w:val="24"/>
        </w:rPr>
        <w:t>15</w:t>
      </w:r>
      <w:r w:rsidR="00BD5E73" w:rsidRPr="00BD5E73">
        <w:rPr>
          <w:i/>
          <w:iCs/>
          <w:sz w:val="24"/>
          <w:szCs w:val="24"/>
          <w:vertAlign w:val="superscript"/>
        </w:rPr>
        <w:t>th</w:t>
      </w:r>
      <w:r w:rsidR="00BD5E73">
        <w:rPr>
          <w:i/>
          <w:iCs/>
          <w:sz w:val="24"/>
          <w:szCs w:val="24"/>
        </w:rPr>
        <w:t xml:space="preserve"> </w:t>
      </w:r>
      <w:r w:rsidRPr="00C65F9B">
        <w:rPr>
          <w:i/>
          <w:iCs/>
          <w:sz w:val="24"/>
          <w:szCs w:val="24"/>
        </w:rPr>
        <w:t>may result in certain benefits not being available. Please check with NCNAC for availability by emailin</w:t>
      </w:r>
      <w:r w:rsidR="001D0236">
        <w:rPr>
          <w:i/>
          <w:iCs/>
          <w:sz w:val="24"/>
          <w:szCs w:val="24"/>
        </w:rPr>
        <w:t xml:space="preserve">g </w:t>
      </w:r>
      <w:hyperlink r:id="rId9" w:history="1">
        <w:r w:rsidR="001D0236" w:rsidRPr="00854276">
          <w:rPr>
            <w:rStyle w:val="Hyperlink"/>
            <w:i/>
            <w:iCs/>
            <w:sz w:val="24"/>
            <w:szCs w:val="24"/>
          </w:rPr>
          <w:t>Beth_Hultquist@baylor.edu</w:t>
        </w:r>
      </w:hyperlink>
      <w:r w:rsidR="001D0236">
        <w:rPr>
          <w:i/>
          <w:iCs/>
          <w:sz w:val="24"/>
          <w:szCs w:val="24"/>
        </w:rPr>
        <w:t xml:space="preserve"> </w:t>
      </w:r>
    </w:p>
    <w:p w14:paraId="52362576" w14:textId="3A1B1FAF" w:rsidR="00530758" w:rsidRPr="00C65F9B" w:rsidRDefault="00530758" w:rsidP="00C84EC0">
      <w:pPr>
        <w:tabs>
          <w:tab w:val="left" w:pos="72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*Priority points is based on participation as an exhibitor or sponsor in past conventions.</w:t>
      </w:r>
    </w:p>
    <w:sectPr w:rsidR="00530758" w:rsidRPr="00C65F9B" w:rsidSect="00C84EC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19D"/>
    <w:multiLevelType w:val="multilevel"/>
    <w:tmpl w:val="CE7E735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°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1BA1733"/>
    <w:multiLevelType w:val="hybridMultilevel"/>
    <w:tmpl w:val="5E0A41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6FE8"/>
    <w:multiLevelType w:val="multilevel"/>
    <w:tmpl w:val="E0ACC5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°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♦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FFC6618"/>
    <w:multiLevelType w:val="hybridMultilevel"/>
    <w:tmpl w:val="1DAC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7BE2"/>
    <w:multiLevelType w:val="multilevel"/>
    <w:tmpl w:val="A49C90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°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AC548E9"/>
    <w:multiLevelType w:val="multilevel"/>
    <w:tmpl w:val="B8B4475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°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526914751">
    <w:abstractNumId w:val="5"/>
  </w:num>
  <w:num w:numId="2" w16cid:durableId="667172346">
    <w:abstractNumId w:val="0"/>
  </w:num>
  <w:num w:numId="3" w16cid:durableId="815801284">
    <w:abstractNumId w:val="2"/>
  </w:num>
  <w:num w:numId="4" w16cid:durableId="239753549">
    <w:abstractNumId w:val="4"/>
  </w:num>
  <w:num w:numId="5" w16cid:durableId="739790811">
    <w:abstractNumId w:val="3"/>
  </w:num>
  <w:num w:numId="6" w16cid:durableId="109092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83"/>
    <w:rsid w:val="000160D7"/>
    <w:rsid w:val="0002629F"/>
    <w:rsid w:val="00065480"/>
    <w:rsid w:val="000C18E5"/>
    <w:rsid w:val="00117EDE"/>
    <w:rsid w:val="001928A7"/>
    <w:rsid w:val="001A1310"/>
    <w:rsid w:val="001D0236"/>
    <w:rsid w:val="001F6A47"/>
    <w:rsid w:val="00221BF6"/>
    <w:rsid w:val="00363C89"/>
    <w:rsid w:val="003B084B"/>
    <w:rsid w:val="003E3C82"/>
    <w:rsid w:val="00480899"/>
    <w:rsid w:val="004A6562"/>
    <w:rsid w:val="004B304A"/>
    <w:rsid w:val="00530758"/>
    <w:rsid w:val="005A19C4"/>
    <w:rsid w:val="007D650C"/>
    <w:rsid w:val="0081594A"/>
    <w:rsid w:val="008625A2"/>
    <w:rsid w:val="008748E0"/>
    <w:rsid w:val="0089485E"/>
    <w:rsid w:val="00A815FA"/>
    <w:rsid w:val="00BD5E73"/>
    <w:rsid w:val="00C65F9B"/>
    <w:rsid w:val="00C84EC0"/>
    <w:rsid w:val="00E6550B"/>
    <w:rsid w:val="00E95C0A"/>
    <w:rsid w:val="00EA094A"/>
    <w:rsid w:val="00E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FD6B"/>
  <w15:docId w15:val="{8D776F8F-CBA1-4F03-A570-CF1D3121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4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e1">
    <w:name w:val="Style1"/>
    <w:uiPriority w:val="99"/>
    <w:rsid w:val="00C66F5F"/>
  </w:style>
  <w:style w:type="numbering" w:customStyle="1" w:styleId="Style3">
    <w:name w:val="Style3"/>
    <w:uiPriority w:val="99"/>
    <w:rsid w:val="00001302"/>
  </w:style>
  <w:style w:type="numbering" w:customStyle="1" w:styleId="PharmNotes">
    <w:name w:val="Pharm Notes"/>
    <w:uiPriority w:val="99"/>
    <w:rsid w:val="00333A92"/>
  </w:style>
  <w:style w:type="character" w:customStyle="1" w:styleId="Heading1Char">
    <w:name w:val="Heading 1 Char"/>
    <w:basedOn w:val="DefaultParagraphFont"/>
    <w:link w:val="Heading1"/>
    <w:uiPriority w:val="9"/>
    <w:rsid w:val="006B4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89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B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898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15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5F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_hultquist@baylor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be.synxis.com/?adult=1&amp;arrive=2026-03-26&amp;chain=10237&amp;child=0&amp;currency=USD&amp;depart=2026-03-29&amp;group=260325NCNA&amp;hotel=75989&amp;level=hotel&amp;locale=en-US&amp;productcurrency=USD&amp;rooms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ll-base.uce.auburn.edu/wconnect/CourseStatus.awp?course=C260327B&amp;Publish=ANYWA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th_Hultquist@baylo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4+um6gjnDBEG6k/Xj16Sf+psPg==">CgMxLjA4AHIhMWJ1UXk3YU5TNUY4blpKd3pyczdULWxFei00enEwcEpt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Henderson</dc:creator>
  <cp:lastModifiedBy>Hultquist, Beth</cp:lastModifiedBy>
  <cp:revision>3</cp:revision>
  <dcterms:created xsi:type="dcterms:W3CDTF">2025-09-12T14:04:00Z</dcterms:created>
  <dcterms:modified xsi:type="dcterms:W3CDTF">2025-09-12T14:05:00Z</dcterms:modified>
</cp:coreProperties>
</file>